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D4C45" w14:textId="77777777" w:rsidR="000A1D83" w:rsidRPr="000A1D83" w:rsidRDefault="000A1D83" w:rsidP="00C77964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both"/>
        <w:rPr>
          <w:b/>
          <w:sz w:val="8"/>
          <w:szCs w:val="8"/>
        </w:rPr>
      </w:pPr>
      <w:bookmarkStart w:id="0" w:name="_GoBack"/>
      <w:bookmarkEnd w:id="0"/>
    </w:p>
    <w:p w14:paraId="0223BEC0" w14:textId="77777777" w:rsidR="000A65B9" w:rsidRDefault="0013518A" w:rsidP="00D2398A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24"/>
          <w:szCs w:val="24"/>
        </w:rPr>
      </w:pPr>
      <w:r w:rsidRPr="00645429">
        <w:rPr>
          <w:b/>
          <w:sz w:val="24"/>
          <w:szCs w:val="24"/>
        </w:rPr>
        <w:t>Betreuung kleiner und mittlerer gemeinnütziger Stiftungen und Vereinigungen</w:t>
      </w:r>
      <w:r w:rsidR="000A65B9">
        <w:rPr>
          <w:b/>
          <w:sz w:val="24"/>
          <w:szCs w:val="24"/>
        </w:rPr>
        <w:t xml:space="preserve"> </w:t>
      </w:r>
    </w:p>
    <w:p w14:paraId="30596A66" w14:textId="77777777" w:rsidR="004B3F61" w:rsidRDefault="004B3F61" w:rsidP="00D2398A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24"/>
          <w:szCs w:val="24"/>
        </w:rPr>
      </w:pPr>
    </w:p>
    <w:p w14:paraId="715389B2" w14:textId="77777777" w:rsidR="000A1D83" w:rsidRPr="000A1D83" w:rsidRDefault="000A1D83" w:rsidP="00D2398A">
      <w:pPr>
        <w:pBdr>
          <w:bottom w:val="single" w:sz="4" w:space="1" w:color="auto"/>
        </w:pBdr>
        <w:shd w:val="clear" w:color="auto" w:fill="C6D9F1" w:themeFill="text2" w:themeFillTint="33"/>
        <w:spacing w:after="0" w:line="240" w:lineRule="auto"/>
        <w:jc w:val="center"/>
        <w:rPr>
          <w:b/>
          <w:sz w:val="8"/>
          <w:szCs w:val="8"/>
        </w:rPr>
      </w:pPr>
    </w:p>
    <w:p w14:paraId="2CD65CD0" w14:textId="77777777" w:rsidR="00C77964" w:rsidRDefault="00C77964" w:rsidP="000A65B9">
      <w:pPr>
        <w:spacing w:after="0" w:line="240" w:lineRule="auto"/>
        <w:jc w:val="both"/>
        <w:rPr>
          <w:sz w:val="24"/>
          <w:szCs w:val="24"/>
        </w:rPr>
      </w:pPr>
    </w:p>
    <w:p w14:paraId="36B367D0" w14:textId="77777777" w:rsidR="0013518A" w:rsidRDefault="0013518A" w:rsidP="000A65B9">
      <w:pPr>
        <w:spacing w:after="0" w:line="240" w:lineRule="auto"/>
        <w:jc w:val="both"/>
        <w:rPr>
          <w:sz w:val="28"/>
          <w:szCs w:val="28"/>
        </w:rPr>
      </w:pPr>
    </w:p>
    <w:p w14:paraId="1BA25EA5" w14:textId="77777777" w:rsidR="005E503A" w:rsidRPr="005E503A" w:rsidRDefault="005E503A" w:rsidP="000A65B9">
      <w:pPr>
        <w:spacing w:after="0" w:line="240" w:lineRule="auto"/>
        <w:jc w:val="both"/>
        <w:rPr>
          <w:sz w:val="20"/>
          <w:szCs w:val="20"/>
        </w:rPr>
      </w:pPr>
    </w:p>
    <w:p w14:paraId="3F15AFBE" w14:textId="77777777" w:rsidR="000A1D83" w:rsidRPr="00C77964" w:rsidRDefault="000A1D83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</w:rPr>
      </w:pPr>
    </w:p>
    <w:p w14:paraId="3E03D0A8" w14:textId="77777777" w:rsidR="00010BC5" w:rsidRPr="0085084F" w:rsidRDefault="000A65B9" w:rsidP="00C77964">
      <w:pPr>
        <w:shd w:val="clear" w:color="auto" w:fill="C6D9F1" w:themeFill="text2" w:themeFillTint="33"/>
        <w:spacing w:after="0" w:line="240" w:lineRule="auto"/>
        <w:jc w:val="both"/>
      </w:pPr>
      <w:r w:rsidRPr="0085084F">
        <w:t xml:space="preserve">1. </w:t>
      </w:r>
      <w:r w:rsidR="00010BC5" w:rsidRPr="0085084F">
        <w:t>Vorbemerkung</w:t>
      </w:r>
    </w:p>
    <w:p w14:paraId="3368A58F" w14:textId="77777777" w:rsidR="000A65B9" w:rsidRDefault="000A65B9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  <w:u w:val="single"/>
        </w:rPr>
      </w:pPr>
    </w:p>
    <w:p w14:paraId="50A42156" w14:textId="77777777" w:rsidR="000A1D83" w:rsidRPr="000A65B9" w:rsidRDefault="000A1D83" w:rsidP="000A65B9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439FB789" w14:textId="77777777" w:rsidR="000A1D83" w:rsidRDefault="00010BC5" w:rsidP="000A65B9">
      <w:pPr>
        <w:spacing w:after="0" w:line="240" w:lineRule="auto"/>
        <w:jc w:val="both"/>
      </w:pPr>
      <w:r>
        <w:t>Kleine und mittlere gemeinnützige Stiftungen und Vereinigungen (Vereine) unterliegen der Stiftungsaufsicht und der Aufsicht der die Gemeinnützigkeit anerkennenden Finanzbehörde</w:t>
      </w:r>
      <w:r w:rsidR="00F50CDC">
        <w:t xml:space="preserve"> (Finanzamt)</w:t>
      </w:r>
      <w:r>
        <w:t xml:space="preserve">. </w:t>
      </w:r>
      <w:r w:rsidR="00C84B14">
        <w:t xml:space="preserve">Die Satzungen kleiner und mittlerer Stiftungen und Vereinigungen sehen in der Regel eine Prüfungspflicht durch einen externen Prüfer </w:t>
      </w:r>
      <w:r w:rsidR="00C84B14" w:rsidRPr="007D7873">
        <w:rPr>
          <w:u w:val="single"/>
        </w:rPr>
        <w:t>nicht</w:t>
      </w:r>
      <w:r w:rsidR="00C84B14">
        <w:t xml:space="preserve"> vor. Es ist vielmehr der Abschluss und sonstige Rechnungslegung durch den Vorstand der Stiftung / des Vereins </w:t>
      </w:r>
      <w:r w:rsidR="0013518A">
        <w:t>entsprechend den Anforderungen der Stiftungsaufsichtsbehörde und / die Finanzbehörde betreffend, den Anforderungen der Steuergesetzte (AO, KStG)</w:t>
      </w:r>
      <w:r w:rsidR="00C84B14">
        <w:t xml:space="preserve">. </w:t>
      </w:r>
    </w:p>
    <w:p w14:paraId="6150CDB2" w14:textId="77777777" w:rsidR="00665DB2" w:rsidRDefault="00C84B14" w:rsidP="000A65B9">
      <w:pPr>
        <w:spacing w:after="0" w:line="240" w:lineRule="auto"/>
        <w:jc w:val="both"/>
      </w:pPr>
      <w:r>
        <w:t>Bei einer Stiftung ist der Jahresabschluss vom Vorstand aufzustellen und dem Stiftungsrat</w:t>
      </w:r>
      <w:r w:rsidR="00D374B7">
        <w:t>, sofern ein solcher vorhanden ist,</w:t>
      </w:r>
      <w:r>
        <w:t xml:space="preserve"> </w:t>
      </w:r>
      <w:r w:rsidR="0013518A">
        <w:t xml:space="preserve">diesem </w:t>
      </w:r>
      <w:r>
        <w:t xml:space="preserve">vorzulegen und von diesem </w:t>
      </w:r>
      <w:r w:rsidR="007D7873">
        <w:t xml:space="preserve">zu </w:t>
      </w:r>
      <w:r>
        <w:t xml:space="preserve">beschließen. </w:t>
      </w:r>
      <w:r w:rsidR="0036677B">
        <w:t>Das alles kostet nicht wenig Geld</w:t>
      </w:r>
      <w:r w:rsidR="0013518A">
        <w:t>, was de</w:t>
      </w:r>
      <w:r w:rsidR="00FF334E">
        <w:t>m Stiftungszweck nicht zur Verfügung steht (Bürokratieaufwand).</w:t>
      </w:r>
      <w:r w:rsidR="0036677B">
        <w:t xml:space="preserve"> </w:t>
      </w:r>
      <w:r w:rsidR="00FF334E">
        <w:t>So wurde</w:t>
      </w:r>
      <w:r w:rsidR="0036677B">
        <w:t xml:space="preserve"> in 2004 für einen </w:t>
      </w:r>
      <w:r w:rsidR="00FF334E">
        <w:t>Stifter</w:t>
      </w:r>
      <w:r w:rsidR="0036677B">
        <w:t xml:space="preserve"> eine Stiftung gegründet mit einem Stiftungskapital von 100.000 €. Auf Veranlassung des Stifters wurde der von dem Stiftungsorgan </w:t>
      </w:r>
      <w:r w:rsidR="00FF334E">
        <w:t>„</w:t>
      </w:r>
      <w:r w:rsidR="0036677B">
        <w:t>Vorstand</w:t>
      </w:r>
      <w:r w:rsidR="00FF334E">
        <w:t>“</w:t>
      </w:r>
      <w:r w:rsidR="0036677B">
        <w:t xml:space="preserve"> </w:t>
      </w:r>
      <w:r w:rsidR="00795212">
        <w:t xml:space="preserve">erstellte Jahresabschluss von </w:t>
      </w:r>
      <w:r w:rsidR="00FF334E">
        <w:t>einer großen WP-Gesellschaft</w:t>
      </w:r>
      <w:r w:rsidR="00795212">
        <w:t xml:space="preserve"> geprüft und </w:t>
      </w:r>
      <w:r w:rsidR="00FF334E">
        <w:t xml:space="preserve">der vorgefertigte Abschluss </w:t>
      </w:r>
      <w:r w:rsidR="00795212">
        <w:t>testiert, obwohl in der Satzung der Stiftung sich hierfür kein Erfordernis ergeben hätte. Das Honorar betrug über 10.000 €, wobei der Abschluss nicht vo</w:t>
      </w:r>
      <w:r w:rsidR="0085084F">
        <w:t>m</w:t>
      </w:r>
      <w:r w:rsidR="00795212">
        <w:t xml:space="preserve"> </w:t>
      </w:r>
      <w:r w:rsidR="00FF334E">
        <w:t>WP</w:t>
      </w:r>
      <w:r w:rsidR="00795212">
        <w:t xml:space="preserve"> </w:t>
      </w:r>
      <w:r w:rsidR="00D374B7">
        <w:t>er</w:t>
      </w:r>
      <w:r w:rsidR="00795212">
        <w:t xml:space="preserve">stellt wurde, sondern lediglich die üblichen Prüfungsfragen gestellt </w:t>
      </w:r>
      <w:r w:rsidR="00D374B7">
        <w:t>und in Textbausteinen</w:t>
      </w:r>
      <w:r w:rsidR="00FF334E">
        <w:t xml:space="preserve"> im Bericht</w:t>
      </w:r>
      <w:r w:rsidR="00D374B7">
        <w:t xml:space="preserve"> verarbeitet wurden. </w:t>
      </w:r>
    </w:p>
    <w:p w14:paraId="73F01814" w14:textId="77777777" w:rsidR="00665DB2" w:rsidRDefault="00665DB2" w:rsidP="000A65B9">
      <w:pPr>
        <w:spacing w:after="0" w:line="240" w:lineRule="auto"/>
        <w:jc w:val="both"/>
      </w:pPr>
    </w:p>
    <w:p w14:paraId="5CD89F1D" w14:textId="77777777" w:rsidR="00DF26C4" w:rsidRDefault="00DF26C4" w:rsidP="000A65B9">
      <w:pPr>
        <w:spacing w:after="0" w:line="240" w:lineRule="auto"/>
        <w:jc w:val="both"/>
      </w:pPr>
    </w:p>
    <w:p w14:paraId="7D5D1271" w14:textId="77777777" w:rsidR="00C77964" w:rsidRDefault="00C77964" w:rsidP="000A65B9">
      <w:pPr>
        <w:spacing w:after="0" w:line="240" w:lineRule="auto"/>
        <w:jc w:val="both"/>
      </w:pPr>
    </w:p>
    <w:p w14:paraId="7699835E" w14:textId="77777777" w:rsidR="00C77964" w:rsidRPr="00C77964" w:rsidRDefault="00C77964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</w:rPr>
      </w:pPr>
    </w:p>
    <w:p w14:paraId="7A5192F9" w14:textId="77777777" w:rsidR="00C77964" w:rsidRPr="00C77964" w:rsidRDefault="00C77964" w:rsidP="00C77964">
      <w:pPr>
        <w:shd w:val="clear" w:color="auto" w:fill="C6D9F1" w:themeFill="text2" w:themeFillTint="33"/>
        <w:spacing w:after="0" w:line="240" w:lineRule="auto"/>
        <w:jc w:val="both"/>
      </w:pPr>
      <w:r>
        <w:t>2. Was folgt daraus?</w:t>
      </w:r>
    </w:p>
    <w:p w14:paraId="268054F7" w14:textId="77777777" w:rsidR="00C77964" w:rsidRDefault="00C77964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  <w:u w:val="single"/>
        </w:rPr>
      </w:pPr>
    </w:p>
    <w:p w14:paraId="244860F9" w14:textId="77777777" w:rsidR="000A65B9" w:rsidRDefault="000A65B9" w:rsidP="000A65B9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07BCF0C0" w14:textId="77777777" w:rsidR="000A1D83" w:rsidRPr="000A65B9" w:rsidRDefault="000A1D83" w:rsidP="000A65B9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766CA361" w14:textId="77777777" w:rsidR="00665DB2" w:rsidRDefault="00665DB2" w:rsidP="000A65B9">
      <w:pPr>
        <w:spacing w:after="0" w:line="240" w:lineRule="auto"/>
        <w:jc w:val="both"/>
      </w:pPr>
      <w:r w:rsidRPr="000A65B9">
        <w:t>Handlung</w:t>
      </w:r>
      <w:r w:rsidR="001B7DAF" w:rsidRPr="000A65B9">
        <w:t>s</w:t>
      </w:r>
      <w:r w:rsidRPr="000A65B9">
        <w:t>empfehlung</w:t>
      </w:r>
      <w:r w:rsidR="001B7DAF" w:rsidRPr="000A65B9">
        <w:t xml:space="preserve"> für kleine und mittlere nicht prüfungspflichtige Stiftungen und Vereine</w:t>
      </w:r>
    </w:p>
    <w:p w14:paraId="40C4B1D4" w14:textId="77777777" w:rsidR="000A65B9" w:rsidRPr="000A65B9" w:rsidRDefault="000A65B9" w:rsidP="000A65B9">
      <w:pPr>
        <w:spacing w:after="0" w:line="240" w:lineRule="auto"/>
        <w:jc w:val="both"/>
        <w:rPr>
          <w:sz w:val="8"/>
          <w:szCs w:val="8"/>
        </w:rPr>
      </w:pPr>
    </w:p>
    <w:p w14:paraId="54E6F9F1" w14:textId="77777777" w:rsidR="001B7DAF" w:rsidRDefault="00FA557D" w:rsidP="000A1D8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Berichtswesen selbst erledigen, soweit möglich</w:t>
      </w:r>
    </w:p>
    <w:p w14:paraId="3C0F69EB" w14:textId="77777777" w:rsidR="00FA557D" w:rsidRDefault="00FA557D" w:rsidP="000A1D8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Vermögensverwaltung selbst durchführen. Keine Bank betrauen oder Vermögensverwalter</w:t>
      </w:r>
      <w:r w:rsidR="007D7873">
        <w:t>.</w:t>
      </w:r>
    </w:p>
    <w:p w14:paraId="365F2E45" w14:textId="77777777" w:rsidR="007D7873" w:rsidRDefault="007D7873" w:rsidP="000A1D8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Stiftungsaufsicht und Finanzverwaltung in die Verantwortung durch regelmäßige Information einbinden.</w:t>
      </w:r>
    </w:p>
    <w:p w14:paraId="7C7ED4FF" w14:textId="77777777" w:rsidR="00B70C6A" w:rsidRDefault="00B70C6A" w:rsidP="000A1D83">
      <w:pPr>
        <w:pStyle w:val="Listenabsatz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Erträge erwirtschaften durch sichere diversifizierte Anlagen.</w:t>
      </w:r>
    </w:p>
    <w:p w14:paraId="28BE22DD" w14:textId="77777777" w:rsidR="000A65B9" w:rsidRPr="000A65B9" w:rsidRDefault="000A65B9" w:rsidP="000A65B9">
      <w:pPr>
        <w:pStyle w:val="Listenabsatz"/>
        <w:spacing w:after="0" w:line="240" w:lineRule="auto"/>
        <w:jc w:val="both"/>
        <w:rPr>
          <w:sz w:val="8"/>
          <w:szCs w:val="8"/>
        </w:rPr>
      </w:pPr>
    </w:p>
    <w:p w14:paraId="214C453D" w14:textId="77777777" w:rsidR="00645429" w:rsidRDefault="000A65B9" w:rsidP="000A65B9">
      <w:pPr>
        <w:spacing w:after="0" w:line="240" w:lineRule="auto"/>
      </w:pPr>
      <w:r>
        <w:t>Was können wir hierbei für Sie tun?</w:t>
      </w:r>
    </w:p>
    <w:p w14:paraId="0608FD8B" w14:textId="77777777" w:rsidR="00FA557D" w:rsidRDefault="00FA557D" w:rsidP="000A65B9">
      <w:pPr>
        <w:spacing w:after="0" w:line="240" w:lineRule="auto"/>
        <w:jc w:val="both"/>
      </w:pPr>
    </w:p>
    <w:p w14:paraId="21F382CF" w14:textId="77777777" w:rsidR="00C77964" w:rsidRDefault="00C77964" w:rsidP="000A65B9">
      <w:pPr>
        <w:spacing w:after="0" w:line="240" w:lineRule="auto"/>
        <w:jc w:val="both"/>
      </w:pPr>
    </w:p>
    <w:p w14:paraId="15EDF35A" w14:textId="77777777" w:rsidR="00C77964" w:rsidRPr="00C77964" w:rsidRDefault="00C77964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</w:rPr>
      </w:pPr>
    </w:p>
    <w:p w14:paraId="649D875B" w14:textId="77777777" w:rsidR="00C77964" w:rsidRPr="00C77964" w:rsidRDefault="00C77964" w:rsidP="00C77964">
      <w:pPr>
        <w:shd w:val="clear" w:color="auto" w:fill="C6D9F1" w:themeFill="text2" w:themeFillTint="33"/>
        <w:spacing w:after="0" w:line="240" w:lineRule="auto"/>
        <w:jc w:val="both"/>
      </w:pPr>
      <w:r>
        <w:t>3. Unsere Leistungen</w:t>
      </w:r>
    </w:p>
    <w:p w14:paraId="0A5E88BA" w14:textId="77777777" w:rsidR="00C77964" w:rsidRDefault="00C77964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  <w:u w:val="single"/>
        </w:rPr>
      </w:pPr>
    </w:p>
    <w:p w14:paraId="67AFF2CD" w14:textId="77777777" w:rsidR="000A1D83" w:rsidRPr="000A65B9" w:rsidRDefault="000A1D83" w:rsidP="000A65B9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64029B41" w14:textId="77777777" w:rsidR="005E503A" w:rsidRDefault="005E503A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530B0552" w14:textId="77777777" w:rsidR="005E503A" w:rsidRDefault="005E503A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68D80C87" w14:textId="77777777" w:rsidR="00772264" w:rsidRDefault="000A1D83" w:rsidP="000A1D83">
      <w:pPr>
        <w:pStyle w:val="Listenabsatz"/>
        <w:spacing w:after="0" w:line="240" w:lineRule="auto"/>
        <w:ind w:left="0"/>
        <w:jc w:val="both"/>
      </w:pPr>
      <w:r>
        <w:sym w:font="Symbol" w:char="F0B7"/>
      </w:r>
      <w:r>
        <w:t xml:space="preserve">    </w:t>
      </w:r>
      <w:r w:rsidR="00FA557D">
        <w:t>Umfassende Beratung</w:t>
      </w:r>
    </w:p>
    <w:p w14:paraId="43658CE8" w14:textId="77777777" w:rsidR="0039552E" w:rsidRPr="000A65B9" w:rsidRDefault="0039552E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29DB6F68" w14:textId="77777777" w:rsidR="00F66BBE" w:rsidRPr="000A65B9" w:rsidRDefault="00564D3D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  <w:r>
        <w:t>Wir stehen von der Errichtung und de</w:t>
      </w:r>
      <w:r w:rsidR="00FF334E">
        <w:t>m</w:t>
      </w:r>
      <w:r>
        <w:t xml:space="preserve"> laufenden Betrieb bis </w:t>
      </w:r>
      <w:r w:rsidR="00FF334E">
        <w:t xml:space="preserve">ggfls. </w:t>
      </w:r>
      <w:r>
        <w:t>zur</w:t>
      </w:r>
      <w:r w:rsidR="00FF334E">
        <w:t xml:space="preserve"> rechtlich und steuerlichen problemlosen</w:t>
      </w:r>
      <w:r>
        <w:t xml:space="preserve"> Abwicklung des gemeinnützigen Rechts</w:t>
      </w:r>
      <w:r w:rsidR="00D374B7">
        <w:t>subjekts</w:t>
      </w:r>
      <w:r>
        <w:t xml:space="preserve"> in steuerlicher, </w:t>
      </w:r>
      <w:proofErr w:type="gramStart"/>
      <w:r>
        <w:t xml:space="preserve">rechtlicher </w:t>
      </w:r>
      <w:r w:rsidRPr="000A65B9">
        <w:t xml:space="preserve"> Fragestellung</w:t>
      </w:r>
      <w:proofErr w:type="gramEnd"/>
      <w:r w:rsidRPr="000A65B9">
        <w:t xml:space="preserve"> zur Verfügung</w:t>
      </w:r>
      <w:r w:rsidR="00B70C6A">
        <w:t xml:space="preserve"> </w:t>
      </w:r>
    </w:p>
    <w:p w14:paraId="624DBB6D" w14:textId="77777777" w:rsidR="002F05AB" w:rsidRDefault="002F05AB" w:rsidP="000A1D83">
      <w:pPr>
        <w:pStyle w:val="Listenabsatz"/>
        <w:spacing w:after="0" w:line="240" w:lineRule="auto"/>
        <w:ind w:left="0"/>
        <w:jc w:val="both"/>
      </w:pPr>
    </w:p>
    <w:p w14:paraId="5B1C2BD9" w14:textId="77777777" w:rsidR="00FA557D" w:rsidRDefault="000A1D83" w:rsidP="000A1D83">
      <w:pPr>
        <w:pStyle w:val="Listenabsatz"/>
        <w:spacing w:after="0" w:line="240" w:lineRule="auto"/>
        <w:ind w:left="0"/>
        <w:jc w:val="both"/>
      </w:pPr>
      <w:r>
        <w:sym w:font="Symbol" w:char="F0B7"/>
      </w:r>
      <w:r>
        <w:t xml:space="preserve">    </w:t>
      </w:r>
      <w:r w:rsidR="00FA557D">
        <w:t>Stiftungsmanagement</w:t>
      </w:r>
    </w:p>
    <w:p w14:paraId="62CB0935" w14:textId="77777777" w:rsidR="0039552E" w:rsidRPr="000A65B9" w:rsidRDefault="0039552E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222D2D3E" w14:textId="77777777" w:rsidR="00D374B7" w:rsidRDefault="0039552E" w:rsidP="000A1D83">
      <w:pPr>
        <w:pStyle w:val="Listenabsatz"/>
        <w:spacing w:after="0" w:line="240" w:lineRule="auto"/>
        <w:ind w:left="0"/>
        <w:jc w:val="both"/>
      </w:pPr>
      <w:r>
        <w:t>Wir kümmern uns um die Begleitung der Entscheidungsprozess</w:t>
      </w:r>
      <w:r w:rsidR="00D374B7">
        <w:t>e</w:t>
      </w:r>
      <w:r>
        <w:t xml:space="preserve">, erstellen für die Stiftung </w:t>
      </w:r>
      <w:proofErr w:type="gramStart"/>
      <w:r>
        <w:t>die  Berichtspflichten</w:t>
      </w:r>
      <w:proofErr w:type="gramEnd"/>
      <w:r w:rsidR="00D374B7">
        <w:t xml:space="preserve"> im erforderlichen </w:t>
      </w:r>
      <w:r w:rsidR="00FF334E">
        <w:t>Mindestu</w:t>
      </w:r>
      <w:r w:rsidR="00D374B7">
        <w:t xml:space="preserve">mfang </w:t>
      </w:r>
      <w:r>
        <w:t xml:space="preserve"> gegenüber Stiftungsaufsicht und Finanzverwaltung. Wir haben langjährige Erfahrung im Umgang mit Stiftungsaufsicht und Finanzverwaltung.</w:t>
      </w:r>
    </w:p>
    <w:p w14:paraId="3A2D6815" w14:textId="77777777" w:rsidR="000A1D83" w:rsidRDefault="000A1D83" w:rsidP="000A65B9">
      <w:pPr>
        <w:pStyle w:val="Listenabsatz"/>
        <w:spacing w:after="0" w:line="240" w:lineRule="auto"/>
        <w:jc w:val="both"/>
      </w:pPr>
    </w:p>
    <w:p w14:paraId="7AFECF2F" w14:textId="77777777" w:rsidR="00564D3D" w:rsidRDefault="00564D3D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  <w:r w:rsidRPr="000A65B9">
        <w:rPr>
          <w:sz w:val="8"/>
          <w:szCs w:val="8"/>
        </w:rPr>
        <w:tab/>
      </w:r>
    </w:p>
    <w:p w14:paraId="1C5F2AF3" w14:textId="77777777" w:rsidR="00C77964" w:rsidRDefault="00C77964" w:rsidP="000A1D83">
      <w:pPr>
        <w:pStyle w:val="Listenabsatz"/>
        <w:spacing w:after="0" w:line="240" w:lineRule="auto"/>
        <w:ind w:left="0"/>
        <w:jc w:val="both"/>
      </w:pPr>
    </w:p>
    <w:p w14:paraId="09FF5CE9" w14:textId="77777777" w:rsidR="005E503A" w:rsidRDefault="005E503A" w:rsidP="000A1D83">
      <w:pPr>
        <w:pStyle w:val="Listenabsatz"/>
        <w:spacing w:after="0" w:line="240" w:lineRule="auto"/>
        <w:ind w:left="0"/>
        <w:jc w:val="both"/>
      </w:pPr>
    </w:p>
    <w:p w14:paraId="249C05B4" w14:textId="77777777" w:rsidR="0039552E" w:rsidRDefault="000A1D83" w:rsidP="000A1D83">
      <w:pPr>
        <w:pStyle w:val="Listenabsatz"/>
        <w:spacing w:after="0" w:line="240" w:lineRule="auto"/>
        <w:ind w:left="0"/>
        <w:jc w:val="both"/>
      </w:pPr>
      <w:r>
        <w:lastRenderedPageBreak/>
        <w:sym w:font="Symbol" w:char="F0B7"/>
      </w:r>
      <w:r>
        <w:t xml:space="preserve">    </w:t>
      </w:r>
      <w:r w:rsidR="00FA557D">
        <w:t>Berichtswesen in abgespeckter, rechtlich</w:t>
      </w:r>
      <w:r w:rsidR="009E1C98">
        <w:t xml:space="preserve">, </w:t>
      </w:r>
      <w:proofErr w:type="gramStart"/>
      <w:r w:rsidR="009E1C98">
        <w:t xml:space="preserve">steuerlich </w:t>
      </w:r>
      <w:r w:rsidR="00FA557D">
        <w:t xml:space="preserve"> ausreichender</w:t>
      </w:r>
      <w:proofErr w:type="gramEnd"/>
      <w:r w:rsidR="00FA557D">
        <w:t xml:space="preserve"> Form</w:t>
      </w:r>
    </w:p>
    <w:p w14:paraId="10938091" w14:textId="77777777" w:rsidR="0039552E" w:rsidRPr="000A65B9" w:rsidRDefault="0039552E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05B7FAAB" w14:textId="77777777" w:rsidR="00FA557D" w:rsidRDefault="0039552E" w:rsidP="000A1D83">
      <w:pPr>
        <w:pStyle w:val="Listenabsatz"/>
        <w:spacing w:after="0" w:line="240" w:lineRule="auto"/>
        <w:ind w:left="0"/>
        <w:jc w:val="both"/>
      </w:pPr>
      <w:r>
        <w:t>Wir erstellen für Ihre Gremien unterschriftsreife Vorlagen</w:t>
      </w:r>
      <w:r w:rsidR="00924624">
        <w:t>. Diese richten sich nach Recht und Gesetz. Sie enthalten keine Zahlenfriedhöfe oder nichtssagende Textbausteine.</w:t>
      </w:r>
      <w:r>
        <w:t xml:space="preserve"> </w:t>
      </w:r>
      <w:r w:rsidR="009E1C98">
        <w:t>Wir stimmen die Berichte mit der Stiftungsaufsicht im Vorhinein ab.</w:t>
      </w:r>
    </w:p>
    <w:p w14:paraId="7E182A3D" w14:textId="77777777" w:rsidR="000A1D83" w:rsidRPr="000A65B9" w:rsidRDefault="000A1D83" w:rsidP="000A1D83">
      <w:pPr>
        <w:pStyle w:val="Listenabsatz"/>
        <w:spacing w:after="0" w:line="240" w:lineRule="auto"/>
        <w:ind w:left="0"/>
        <w:jc w:val="both"/>
      </w:pPr>
    </w:p>
    <w:p w14:paraId="0019683D" w14:textId="77777777" w:rsidR="000A1D83" w:rsidRPr="000A65B9" w:rsidRDefault="000A1D83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  <w:r w:rsidRPr="000A65B9">
        <w:rPr>
          <w:sz w:val="8"/>
          <w:szCs w:val="8"/>
        </w:rPr>
        <w:t xml:space="preserve"> </w:t>
      </w:r>
    </w:p>
    <w:p w14:paraId="69C0AC39" w14:textId="77777777" w:rsidR="00924624" w:rsidRDefault="000A1D83" w:rsidP="000A1D83">
      <w:pPr>
        <w:pStyle w:val="Listenabsatz"/>
        <w:spacing w:after="0" w:line="240" w:lineRule="auto"/>
        <w:ind w:left="0"/>
        <w:jc w:val="both"/>
      </w:pPr>
      <w:r>
        <w:sym w:font="Symbol" w:char="F0B7"/>
      </w:r>
      <w:r>
        <w:t xml:space="preserve">    </w:t>
      </w:r>
      <w:r w:rsidR="00FA557D">
        <w:t>Vermögensverwaltung</w:t>
      </w:r>
    </w:p>
    <w:p w14:paraId="1F9BEC2A" w14:textId="77777777" w:rsidR="008927D6" w:rsidRPr="000A65B9" w:rsidRDefault="008927D6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3BBFC620" w14:textId="77777777" w:rsidR="007A241C" w:rsidRDefault="00924624" w:rsidP="000A1D83">
      <w:pPr>
        <w:pStyle w:val="Listenabsatz"/>
        <w:spacing w:after="0" w:line="240" w:lineRule="auto"/>
        <w:ind w:left="0"/>
        <w:jc w:val="both"/>
      </w:pPr>
      <w:r>
        <w:t xml:space="preserve">Wir übernehmen keine Vermögensverwaltung, sondern beraten Sie bei der Anlage des Stiftungskapitals. Wir </w:t>
      </w:r>
      <w:r w:rsidR="00DF26C4">
        <w:t>helfen Ihnen</w:t>
      </w:r>
      <w:r>
        <w:t>, eine Anlagestrategie zu entwickeln und mit Ihren Gremien festzulegen.</w:t>
      </w:r>
      <w:r w:rsidR="007A241C">
        <w:t xml:space="preserve"> Wir überprüfen diese jährlich zusammen mit Ihnen</w:t>
      </w:r>
      <w:r w:rsidR="00DF26C4">
        <w:t xml:space="preserve"> und schlagen Anpassungen vor</w:t>
      </w:r>
      <w:r w:rsidR="007A241C">
        <w:t>.</w:t>
      </w:r>
      <w:r w:rsidR="00B70C6A">
        <w:t xml:space="preserve"> </w:t>
      </w:r>
    </w:p>
    <w:p w14:paraId="47207C50" w14:textId="77777777" w:rsidR="000A65B9" w:rsidRPr="000A65B9" w:rsidRDefault="000A65B9" w:rsidP="000A1D83">
      <w:pPr>
        <w:pStyle w:val="Listenabsatz"/>
        <w:spacing w:after="0" w:line="240" w:lineRule="auto"/>
        <w:ind w:left="0"/>
        <w:jc w:val="both"/>
        <w:rPr>
          <w:sz w:val="8"/>
          <w:szCs w:val="8"/>
        </w:rPr>
      </w:pPr>
    </w:p>
    <w:p w14:paraId="444DD5DD" w14:textId="77777777" w:rsidR="00FA557D" w:rsidRDefault="00924624" w:rsidP="000A1D83">
      <w:pPr>
        <w:pStyle w:val="Listenabsatz"/>
        <w:spacing w:after="0" w:line="240" w:lineRule="auto"/>
        <w:ind w:left="0"/>
        <w:jc w:val="both"/>
      </w:pPr>
      <w:r>
        <w:t xml:space="preserve">Wir raten davon ab, eine Vermögensverwaltung durch Banken oder „spezialisierte Stiftungsvermögensverwalter“ vornehmen zu lassen. </w:t>
      </w:r>
      <w:r w:rsidR="008927D6">
        <w:t xml:space="preserve">Wir raten dazu, die Anlagestrategie jährlich </w:t>
      </w:r>
      <w:r w:rsidR="000A65B9">
        <w:t xml:space="preserve">selbst </w:t>
      </w:r>
      <w:r w:rsidR="008927D6">
        <w:t xml:space="preserve">zu überdenken und von den Gremien (Stiftungsvorstand und </w:t>
      </w:r>
      <w:r w:rsidR="009E1C98">
        <w:t xml:space="preserve">ggfls. </w:t>
      </w:r>
      <w:proofErr w:type="gramStart"/>
      <w:r w:rsidR="008927D6">
        <w:t>Stiftungsrat)  beschließen</w:t>
      </w:r>
      <w:proofErr w:type="gramEnd"/>
      <w:r w:rsidR="008927D6">
        <w:t xml:space="preserve"> zu lassen. </w:t>
      </w:r>
      <w:r w:rsidR="00FA557D">
        <w:t xml:space="preserve"> </w:t>
      </w:r>
      <w:r w:rsidR="008927D6">
        <w:t xml:space="preserve">Umschichtungen sind teuer. Unsere Empfehlung ist, in Absprache (Information) mit der Stiftungsaufsicht, Anlagewerte zu </w:t>
      </w:r>
      <w:proofErr w:type="gramStart"/>
      <w:r w:rsidR="008927D6">
        <w:t>zeichnen</w:t>
      </w:r>
      <w:r w:rsidR="007A241C">
        <w:t>,</w:t>
      </w:r>
      <w:r w:rsidR="008927D6">
        <w:t xml:space="preserve">  diese</w:t>
      </w:r>
      <w:proofErr w:type="gramEnd"/>
      <w:r w:rsidR="008927D6">
        <w:t xml:space="preserve"> zu halten und nicht auf Kursgewinne zu spekulieren, sondern </w:t>
      </w:r>
      <w:r w:rsidR="009E1C98">
        <w:t xml:space="preserve"> </w:t>
      </w:r>
      <w:r w:rsidR="008927D6">
        <w:t>auf Dividendenerträge von DAX-Unternehmen oder auf Zinserträge von</w:t>
      </w:r>
      <w:r w:rsidR="007A241C">
        <w:t xml:space="preserve"> Anleihen mit einem vertretbaren </w:t>
      </w:r>
      <w:proofErr w:type="spellStart"/>
      <w:r w:rsidR="007A241C">
        <w:t>rat</w:t>
      </w:r>
      <w:r w:rsidR="009E1C98">
        <w:t>ing</w:t>
      </w:r>
      <w:proofErr w:type="spellEnd"/>
      <w:r w:rsidR="009E1C98">
        <w:t>.</w:t>
      </w:r>
      <w:r w:rsidR="00DF26C4">
        <w:t xml:space="preserve"> </w:t>
      </w:r>
      <w:r w:rsidR="007A241C">
        <w:t xml:space="preserve"> Wenn der Vorstand in Absprache mit dem Stiftungsrat beschließt, Werte langfristig halten zu wollen, bestehen u.E. keine Bedenken, von einer Wertberichtigung </w:t>
      </w:r>
      <w:r w:rsidR="001A7DBE">
        <w:t xml:space="preserve">nach unten </w:t>
      </w:r>
      <w:r w:rsidR="007A241C">
        <w:t>in der Vermögensaufstellung zum A</w:t>
      </w:r>
      <w:r w:rsidR="001A7DBE">
        <w:t>ufstellungsstichtag abzusehen. Die steuerfreie Dividende ist der Ertrag.</w:t>
      </w:r>
      <w:r w:rsidR="000A65B9">
        <w:t xml:space="preserve"> Wir begleiten Sie auf d</w:t>
      </w:r>
      <w:r w:rsidR="00DF26C4">
        <w:t xml:space="preserve">iesem Weg. </w:t>
      </w:r>
    </w:p>
    <w:p w14:paraId="79126017" w14:textId="77777777" w:rsidR="000A65B9" w:rsidRDefault="000A65B9" w:rsidP="000A1D83">
      <w:pPr>
        <w:spacing w:after="0" w:line="240" w:lineRule="auto"/>
        <w:rPr>
          <w:u w:val="single"/>
        </w:rPr>
      </w:pPr>
    </w:p>
    <w:p w14:paraId="50FD4645" w14:textId="77777777" w:rsidR="000A1D83" w:rsidRDefault="000A1D83" w:rsidP="000A1D83">
      <w:pPr>
        <w:spacing w:after="0" w:line="240" w:lineRule="auto"/>
        <w:rPr>
          <w:u w:val="single"/>
        </w:rPr>
      </w:pPr>
    </w:p>
    <w:p w14:paraId="1F7D9EE8" w14:textId="77777777" w:rsidR="00C77964" w:rsidRPr="00C77964" w:rsidRDefault="00C77964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</w:rPr>
      </w:pPr>
    </w:p>
    <w:p w14:paraId="3145FBF4" w14:textId="77777777" w:rsidR="00C77964" w:rsidRPr="00C77964" w:rsidRDefault="00C77964" w:rsidP="00C77964">
      <w:pPr>
        <w:shd w:val="clear" w:color="auto" w:fill="C6D9F1" w:themeFill="text2" w:themeFillTint="33"/>
        <w:spacing w:after="0" w:line="240" w:lineRule="auto"/>
        <w:jc w:val="both"/>
      </w:pPr>
      <w:r>
        <w:t>4. Unsere Vergütung</w:t>
      </w:r>
    </w:p>
    <w:p w14:paraId="64DF9907" w14:textId="77777777" w:rsidR="00C77964" w:rsidRDefault="00C77964" w:rsidP="00C77964">
      <w:pPr>
        <w:shd w:val="clear" w:color="auto" w:fill="C6D9F1" w:themeFill="text2" w:themeFillTint="33"/>
        <w:spacing w:after="0" w:line="240" w:lineRule="auto"/>
        <w:jc w:val="both"/>
        <w:rPr>
          <w:sz w:val="8"/>
          <w:szCs w:val="8"/>
          <w:u w:val="single"/>
        </w:rPr>
      </w:pPr>
    </w:p>
    <w:p w14:paraId="70FE9621" w14:textId="77777777" w:rsidR="00C77964" w:rsidRPr="000A65B9" w:rsidRDefault="00C77964" w:rsidP="00C77964">
      <w:pPr>
        <w:spacing w:after="0" w:line="240" w:lineRule="auto"/>
        <w:jc w:val="both"/>
        <w:rPr>
          <w:sz w:val="8"/>
          <w:szCs w:val="8"/>
          <w:u w:val="single"/>
        </w:rPr>
      </w:pPr>
    </w:p>
    <w:p w14:paraId="71D2621A" w14:textId="77777777" w:rsidR="000A1D83" w:rsidRPr="000A1D83" w:rsidRDefault="000A1D83" w:rsidP="000A65B9">
      <w:pPr>
        <w:spacing w:after="0" w:line="240" w:lineRule="auto"/>
        <w:rPr>
          <w:sz w:val="8"/>
          <w:szCs w:val="8"/>
          <w:u w:val="single"/>
        </w:rPr>
      </w:pPr>
    </w:p>
    <w:p w14:paraId="2F0A71DD" w14:textId="77777777" w:rsidR="007A241C" w:rsidRDefault="007A241C" w:rsidP="000A1D83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Diese r</w:t>
      </w:r>
      <w:r w:rsidR="00D02D57">
        <w:t>ichtet sich nach unserem zeitlichen Aufwand</w:t>
      </w:r>
      <w:r w:rsidR="001A7DBE">
        <w:t xml:space="preserve">. Auch ist </w:t>
      </w:r>
      <w:r w:rsidR="00D02D57">
        <w:t xml:space="preserve">eine pauschale Vereinbarung möglich. </w:t>
      </w:r>
      <w:r w:rsidR="007D7873">
        <w:t xml:space="preserve">Wir sind auf die Betreuung von kleinen und mittleren gemeinnützigen Körperschaften spezialisiert und können durch gezielte standardisierte digitalisierte Betreuung unsere Kosten </w:t>
      </w:r>
      <w:r w:rsidR="001A7DBE">
        <w:t>niedrig halten.</w:t>
      </w:r>
    </w:p>
    <w:p w14:paraId="3EBEECD9" w14:textId="77777777" w:rsidR="00C77964" w:rsidRDefault="00C77964" w:rsidP="00C77964">
      <w:pPr>
        <w:pStyle w:val="Listenabsatz"/>
        <w:spacing w:after="0" w:line="240" w:lineRule="auto"/>
        <w:ind w:left="284"/>
        <w:jc w:val="both"/>
      </w:pPr>
    </w:p>
    <w:p w14:paraId="3D911833" w14:textId="77777777" w:rsidR="007A241C" w:rsidRDefault="007A241C" w:rsidP="000A1D83">
      <w:pPr>
        <w:pStyle w:val="Listenabsatz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Unsere Vergütung richtet sich nach der </w:t>
      </w:r>
      <w:r w:rsidR="0069356D">
        <w:t xml:space="preserve">Inanspruchnahme </w:t>
      </w:r>
      <w:r w:rsidR="001A7DBE">
        <w:t>der</w:t>
      </w:r>
      <w:r w:rsidR="0069356D">
        <w:t xml:space="preserve"> Module unserer Dienstleitungen:</w:t>
      </w:r>
    </w:p>
    <w:p w14:paraId="025A2E6E" w14:textId="77777777" w:rsidR="0069356D" w:rsidRPr="000A65B9" w:rsidRDefault="0069356D" w:rsidP="000A1D83">
      <w:pPr>
        <w:pStyle w:val="Listenabsatz"/>
        <w:spacing w:after="0" w:line="240" w:lineRule="auto"/>
        <w:ind w:left="284" w:hanging="284"/>
        <w:jc w:val="both"/>
        <w:rPr>
          <w:sz w:val="8"/>
          <w:szCs w:val="8"/>
        </w:rPr>
      </w:pPr>
    </w:p>
    <w:p w14:paraId="58B3D387" w14:textId="77777777" w:rsidR="0069356D" w:rsidRDefault="000A1D83" w:rsidP="000A1D83">
      <w:pPr>
        <w:pStyle w:val="Listenabsatz"/>
        <w:tabs>
          <w:tab w:val="left" w:pos="284"/>
        </w:tabs>
        <w:spacing w:after="0" w:line="240" w:lineRule="auto"/>
        <w:ind w:left="284"/>
        <w:jc w:val="both"/>
      </w:pPr>
      <w:r>
        <w:t>1.</w:t>
      </w:r>
      <w:r>
        <w:tab/>
      </w:r>
      <w:r w:rsidR="0069356D">
        <w:t>Gründung/Errichtung der gemeinnützigen Körperschaft</w:t>
      </w:r>
      <w:r w:rsidR="001A7DBE">
        <w:t xml:space="preserve">, </w:t>
      </w:r>
      <w:proofErr w:type="spellStart"/>
      <w:r w:rsidR="001A7DBE">
        <w:t>Zustiftungen</w:t>
      </w:r>
      <w:proofErr w:type="spellEnd"/>
    </w:p>
    <w:p w14:paraId="05C6CA46" w14:textId="77777777" w:rsidR="000A1D83" w:rsidRDefault="000A1D83" w:rsidP="000A1D83">
      <w:pPr>
        <w:pStyle w:val="Listenabsatz"/>
        <w:tabs>
          <w:tab w:val="left" w:pos="284"/>
        </w:tabs>
        <w:spacing w:after="0" w:line="240" w:lineRule="auto"/>
        <w:ind w:left="284"/>
        <w:jc w:val="both"/>
      </w:pPr>
      <w:r>
        <w:t>2.</w:t>
      </w:r>
      <w:r>
        <w:tab/>
      </w:r>
      <w:r w:rsidR="0069356D">
        <w:t>Laufender Betrieb Recht und Steuer (Berichtswesen)</w:t>
      </w:r>
    </w:p>
    <w:p w14:paraId="364A9CF2" w14:textId="77777777" w:rsidR="0069356D" w:rsidRDefault="000A1D83" w:rsidP="000A1D83">
      <w:pPr>
        <w:pStyle w:val="Listenabsatz"/>
        <w:tabs>
          <w:tab w:val="left" w:pos="284"/>
        </w:tabs>
        <w:spacing w:after="0" w:line="240" w:lineRule="auto"/>
        <w:ind w:left="284"/>
        <w:jc w:val="both"/>
      </w:pPr>
      <w:r>
        <w:t>3.</w:t>
      </w:r>
      <w:r>
        <w:tab/>
      </w:r>
      <w:r w:rsidR="0069356D">
        <w:t>Vermögensverwaltung</w:t>
      </w:r>
    </w:p>
    <w:p w14:paraId="6773CE9F" w14:textId="77777777" w:rsidR="0069356D" w:rsidRDefault="0069356D" w:rsidP="000A1D83">
      <w:pPr>
        <w:pStyle w:val="Listenabsatz"/>
        <w:spacing w:after="0" w:line="240" w:lineRule="auto"/>
        <w:ind w:left="284" w:hanging="284"/>
        <w:jc w:val="both"/>
        <w:rPr>
          <w:sz w:val="8"/>
          <w:szCs w:val="8"/>
        </w:rPr>
      </w:pPr>
      <w:r w:rsidRPr="000A65B9">
        <w:rPr>
          <w:sz w:val="8"/>
          <w:szCs w:val="8"/>
        </w:rPr>
        <w:t xml:space="preserve"> </w:t>
      </w:r>
    </w:p>
    <w:p w14:paraId="60CA9A61" w14:textId="77777777" w:rsidR="00C77964" w:rsidRDefault="00C77964" w:rsidP="000A1D83">
      <w:pPr>
        <w:pStyle w:val="Listenabsatz"/>
        <w:spacing w:after="0" w:line="240" w:lineRule="auto"/>
        <w:ind w:left="284" w:hanging="284"/>
        <w:jc w:val="both"/>
        <w:rPr>
          <w:sz w:val="8"/>
          <w:szCs w:val="8"/>
        </w:rPr>
      </w:pPr>
    </w:p>
    <w:p w14:paraId="5791554D" w14:textId="77777777" w:rsidR="00231699" w:rsidRDefault="00231699" w:rsidP="00475095">
      <w:pPr>
        <w:pStyle w:val="Listenabsatz"/>
        <w:pBdr>
          <w:bottom w:val="single" w:sz="4" w:space="1" w:color="auto"/>
        </w:pBdr>
        <w:spacing w:after="0" w:line="240" w:lineRule="auto"/>
        <w:ind w:left="0"/>
        <w:jc w:val="both"/>
      </w:pPr>
    </w:p>
    <w:p w14:paraId="7D82518C" w14:textId="77777777" w:rsidR="00E02E39" w:rsidRDefault="00231699" w:rsidP="000A1D83">
      <w:pPr>
        <w:pStyle w:val="Listenabsatz"/>
        <w:spacing w:after="0" w:line="240" w:lineRule="auto"/>
        <w:ind w:left="284" w:hanging="284"/>
        <w:jc w:val="both"/>
      </w:pPr>
      <w:r>
        <w:t xml:space="preserve"> </w:t>
      </w:r>
    </w:p>
    <w:p w14:paraId="0B7F5B41" w14:textId="77777777" w:rsidR="00F66BBE" w:rsidRDefault="00F66BBE" w:rsidP="00475095">
      <w:pPr>
        <w:ind w:left="2124"/>
        <w:rPr>
          <w:rFonts w:ascii="Helvetica" w:eastAsia="Calibri" w:hAnsi="Helvetica" w:cs="Helvetica"/>
          <w:noProof/>
          <w:color w:val="5F5F5F"/>
          <w:lang w:eastAsia="de-DE"/>
        </w:rPr>
      </w:pPr>
      <w:r>
        <w:rPr>
          <w:rFonts w:ascii="Helvetica" w:eastAsia="Calibri" w:hAnsi="Helvetica" w:cs="Helvetica"/>
          <w:noProof/>
          <w:color w:val="5F5F5F"/>
          <w:lang w:eastAsia="de-DE"/>
        </w:rPr>
        <w:drawing>
          <wp:inline distT="0" distB="0" distL="0" distR="0" wp14:anchorId="75F4FE9E" wp14:editId="52D8F6EF">
            <wp:extent cx="1964690" cy="369570"/>
            <wp:effectExtent l="0" t="0" r="0" b="0"/>
            <wp:docPr id="1" name="Grafik 1" descr="Logo Del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Delc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759A" w14:textId="77777777" w:rsidR="00F66BBE" w:rsidRDefault="00F66BBE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lang w:eastAsia="de-DE"/>
        </w:rPr>
      </w:pPr>
      <w:r>
        <w:rPr>
          <w:rFonts w:ascii="Helvetica" w:eastAsia="Calibri" w:hAnsi="Helvetica" w:cs="Helvetica"/>
          <w:noProof/>
          <w:color w:val="5F5F5F"/>
          <w:lang w:eastAsia="de-DE"/>
        </w:rPr>
        <w:t>Dr. Matthias Delcker</w:t>
      </w:r>
    </w:p>
    <w:p w14:paraId="37985622" w14:textId="77777777" w:rsidR="00F66BBE" w:rsidRDefault="00F66BBE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sz w:val="20"/>
          <w:szCs w:val="20"/>
          <w:lang w:eastAsia="de-DE"/>
        </w:rPr>
      </w:pPr>
      <w:r>
        <w:rPr>
          <w:rFonts w:ascii="Helvetica" w:eastAsia="Calibri" w:hAnsi="Helvetica" w:cs="Helvetica"/>
          <w:noProof/>
          <w:color w:val="5F5F5F"/>
          <w:sz w:val="20"/>
          <w:szCs w:val="20"/>
          <w:lang w:eastAsia="de-DE"/>
        </w:rPr>
        <w:t>Rechtsanwalt</w:t>
      </w:r>
    </w:p>
    <w:p w14:paraId="6A2D313D" w14:textId="77777777" w:rsidR="00F66BBE" w:rsidRDefault="00F66BBE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sz w:val="20"/>
          <w:szCs w:val="20"/>
          <w:lang w:eastAsia="de-DE"/>
        </w:rPr>
      </w:pPr>
      <w:r>
        <w:rPr>
          <w:rFonts w:ascii="Helvetica" w:eastAsia="Calibri" w:hAnsi="Helvetica" w:cs="Helvetica"/>
          <w:noProof/>
          <w:color w:val="5F5F5F"/>
          <w:sz w:val="20"/>
          <w:szCs w:val="20"/>
          <w:lang w:eastAsia="de-DE"/>
        </w:rPr>
        <w:t>Fachanwalt für Steuerrecht</w:t>
      </w:r>
    </w:p>
    <w:p w14:paraId="62C6D7A9" w14:textId="77777777" w:rsidR="00F66BBE" w:rsidRDefault="00475095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lang w:eastAsia="de-DE"/>
        </w:rPr>
      </w:pPr>
      <w:r>
        <w:rPr>
          <w:rFonts w:ascii="Helvetica" w:eastAsia="Calibri" w:hAnsi="Helvetica" w:cs="Helvetica"/>
          <w:noProof/>
          <w:color w:val="5F5F5F"/>
          <w:lang w:eastAsia="de-DE"/>
        </w:rPr>
        <w:t>Postanschrift</w:t>
      </w:r>
    </w:p>
    <w:p w14:paraId="014C5AD2" w14:textId="77777777" w:rsidR="00F66BBE" w:rsidRDefault="00F66BBE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</w:pP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>Geigersbergstrasse 37, 76227 Karlsruhe</w:t>
      </w:r>
    </w:p>
    <w:p w14:paraId="6944D765" w14:textId="77777777" w:rsidR="00F66BBE" w:rsidRDefault="00847F24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</w:pPr>
      <w:hyperlink r:id="rId9" w:history="1">
        <w:r w:rsidR="00F66BBE">
          <w:rPr>
            <w:rStyle w:val="Link"/>
            <w:rFonts w:ascii="Helvetica" w:eastAsia="Calibri" w:hAnsi="Helvetica" w:cs="Helvetica"/>
            <w:noProof/>
            <w:sz w:val="18"/>
            <w:szCs w:val="18"/>
            <w:lang w:eastAsia="de-DE"/>
          </w:rPr>
          <w:t>www.delcker.de</w:t>
        </w:r>
      </w:hyperlink>
      <w:r w:rsidR="00F66BBE"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  -  </w:t>
      </w:r>
      <w:hyperlink r:id="rId10" w:history="1">
        <w:r w:rsidR="00F66BBE">
          <w:rPr>
            <w:rStyle w:val="Link"/>
            <w:rFonts w:ascii="Helvetica" w:eastAsia="Calibri" w:hAnsi="Helvetica" w:cs="Helvetica"/>
            <w:noProof/>
            <w:sz w:val="18"/>
            <w:szCs w:val="18"/>
            <w:lang w:eastAsia="de-DE"/>
          </w:rPr>
          <w:t>Matthias.Delcker@Delcker.de</w:t>
        </w:r>
      </w:hyperlink>
    </w:p>
    <w:p w14:paraId="110824DF" w14:textId="77777777" w:rsidR="00F66BBE" w:rsidRDefault="00F66BBE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</w:pP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Tel.  :     00 49 721 </w:t>
      </w:r>
      <w:r w:rsidR="00475095"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</w:t>
      </w: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>426 25</w:t>
      </w:r>
    </w:p>
    <w:p w14:paraId="007B4287" w14:textId="77777777" w:rsidR="00F66BBE" w:rsidRDefault="00F66BBE" w:rsidP="00475095">
      <w:pPr>
        <w:spacing w:line="240" w:lineRule="auto"/>
        <w:ind w:left="2124"/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</w:pP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Fax. :     00 49 721 </w:t>
      </w:r>
      <w:r w:rsidR="00475095"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</w:t>
      </w: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>40 43 85</w:t>
      </w:r>
    </w:p>
    <w:p w14:paraId="13B3DB69" w14:textId="77777777" w:rsidR="00F66BBE" w:rsidRDefault="00F66BBE" w:rsidP="00475095">
      <w:pPr>
        <w:spacing w:line="240" w:lineRule="auto"/>
        <w:ind w:left="2124"/>
      </w:pP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Mobil:     00 49 151 </w:t>
      </w:r>
      <w:r w:rsidR="00475095"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</w:t>
      </w: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>730</w:t>
      </w:r>
      <w:r w:rsidR="00475095"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</w:t>
      </w: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015</w:t>
      </w:r>
      <w:r w:rsidR="00475095"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</w:t>
      </w:r>
      <w:r>
        <w:rPr>
          <w:rFonts w:ascii="Helvetica" w:eastAsia="Calibri" w:hAnsi="Helvetica" w:cs="Helvetica"/>
          <w:noProof/>
          <w:color w:val="5F5F5F"/>
          <w:sz w:val="18"/>
          <w:szCs w:val="18"/>
          <w:lang w:eastAsia="de-DE"/>
        </w:rPr>
        <w:t xml:space="preserve"> 91</w:t>
      </w:r>
    </w:p>
    <w:sectPr w:rsidR="00F66BBE" w:rsidSect="008B1DCB">
      <w:footerReference w:type="default" r:id="rId11"/>
      <w:pgSz w:w="11906" w:h="16838"/>
      <w:pgMar w:top="1134" w:right="1134" w:bottom="1134" w:left="1134" w:header="709" w:footer="709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76923" w14:textId="77777777" w:rsidR="00847F24" w:rsidRDefault="00847F24" w:rsidP="00BF4BD9">
      <w:pPr>
        <w:spacing w:after="0" w:line="240" w:lineRule="auto"/>
      </w:pPr>
      <w:r>
        <w:separator/>
      </w:r>
    </w:p>
  </w:endnote>
  <w:endnote w:type="continuationSeparator" w:id="0">
    <w:p w14:paraId="3FCE5E31" w14:textId="77777777" w:rsidR="00847F24" w:rsidRDefault="00847F24" w:rsidP="00B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C77964" w14:paraId="3F067EE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EB94F34" w14:textId="77777777" w:rsidR="00C77964" w:rsidRDefault="00C7796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204512" w14:textId="77777777" w:rsidR="00C77964" w:rsidRPr="00C77964" w:rsidRDefault="00C77964">
          <w:pPr>
            <w:pStyle w:val="KeinLeerraum"/>
            <w:rPr>
              <w:rFonts w:ascii="Arial" w:eastAsiaTheme="majorEastAsia" w:hAnsi="Arial" w:cs="Arial"/>
              <w:sz w:val="16"/>
              <w:szCs w:val="16"/>
            </w:rPr>
          </w:pPr>
          <w:r w:rsidRPr="00C77964">
            <w:rPr>
              <w:rFonts w:ascii="Arial" w:eastAsiaTheme="majorEastAsia" w:hAnsi="Arial" w:cs="Arial"/>
              <w:b/>
              <w:bCs/>
              <w:sz w:val="16"/>
              <w:szCs w:val="16"/>
            </w:rPr>
            <w:t xml:space="preserve">Seite </w:t>
          </w:r>
          <w:r w:rsidRPr="00C77964">
            <w:rPr>
              <w:rFonts w:ascii="Arial" w:hAnsi="Arial" w:cs="Arial"/>
              <w:sz w:val="16"/>
              <w:szCs w:val="16"/>
            </w:rPr>
            <w:fldChar w:fldCharType="begin"/>
          </w:r>
          <w:r w:rsidRPr="00C77964">
            <w:rPr>
              <w:rFonts w:ascii="Arial" w:hAnsi="Arial" w:cs="Arial"/>
              <w:sz w:val="16"/>
              <w:szCs w:val="16"/>
            </w:rPr>
            <w:instrText>PAGE  \* MERGEFORMAT</w:instrText>
          </w:r>
          <w:r w:rsidRPr="00C77964">
            <w:rPr>
              <w:rFonts w:ascii="Arial" w:hAnsi="Arial" w:cs="Arial"/>
              <w:sz w:val="16"/>
              <w:szCs w:val="16"/>
            </w:rPr>
            <w:fldChar w:fldCharType="separate"/>
          </w:r>
          <w:r w:rsidR="00272538" w:rsidRPr="00272538">
            <w:rPr>
              <w:rFonts w:ascii="Arial" w:eastAsiaTheme="majorEastAsia" w:hAnsi="Arial" w:cs="Arial"/>
              <w:b/>
              <w:bCs/>
              <w:noProof/>
              <w:sz w:val="16"/>
              <w:szCs w:val="16"/>
            </w:rPr>
            <w:t>1</w:t>
          </w:r>
          <w:r w:rsidRPr="00C77964">
            <w:rPr>
              <w:rFonts w:ascii="Arial" w:eastAsiaTheme="majorEastAsia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F06B2CE" w14:textId="77777777" w:rsidR="00C77964" w:rsidRDefault="00C7796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77964" w14:paraId="4D4162D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74007C3" w14:textId="77777777" w:rsidR="00C77964" w:rsidRDefault="00C7796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E76B07C" w14:textId="77777777" w:rsidR="00C77964" w:rsidRDefault="00C77964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A5D6D92" w14:textId="77777777" w:rsidR="00C77964" w:rsidRDefault="00C77964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07A968B" w14:textId="77777777" w:rsidR="00C77964" w:rsidRDefault="00C7796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5CC05" w14:textId="77777777" w:rsidR="00847F24" w:rsidRDefault="00847F24" w:rsidP="00BF4BD9">
      <w:pPr>
        <w:spacing w:after="0" w:line="240" w:lineRule="auto"/>
      </w:pPr>
      <w:r>
        <w:separator/>
      </w:r>
    </w:p>
  </w:footnote>
  <w:footnote w:type="continuationSeparator" w:id="0">
    <w:p w14:paraId="43CD2A7E" w14:textId="77777777" w:rsidR="00847F24" w:rsidRDefault="00847F24" w:rsidP="00BF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03DAA"/>
    <w:multiLevelType w:val="hybridMultilevel"/>
    <w:tmpl w:val="66E01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10BFF"/>
    <w:multiLevelType w:val="hybridMultilevel"/>
    <w:tmpl w:val="EA264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C5491"/>
    <w:multiLevelType w:val="hybridMultilevel"/>
    <w:tmpl w:val="22CC6F3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0"/>
    <w:rsid w:val="00010BC5"/>
    <w:rsid w:val="000A1D83"/>
    <w:rsid w:val="000A65B9"/>
    <w:rsid w:val="0013518A"/>
    <w:rsid w:val="001977A9"/>
    <w:rsid w:val="001A7DBE"/>
    <w:rsid w:val="001B7DAF"/>
    <w:rsid w:val="001E4DCB"/>
    <w:rsid w:val="00231699"/>
    <w:rsid w:val="00272538"/>
    <w:rsid w:val="00290ECA"/>
    <w:rsid w:val="002F05AB"/>
    <w:rsid w:val="0036677B"/>
    <w:rsid w:val="0039552E"/>
    <w:rsid w:val="00475095"/>
    <w:rsid w:val="004B3F61"/>
    <w:rsid w:val="004C182C"/>
    <w:rsid w:val="005174B0"/>
    <w:rsid w:val="00564D3D"/>
    <w:rsid w:val="00572BFE"/>
    <w:rsid w:val="005D53CF"/>
    <w:rsid w:val="005E503A"/>
    <w:rsid w:val="00645429"/>
    <w:rsid w:val="00665DB2"/>
    <w:rsid w:val="0069356D"/>
    <w:rsid w:val="006D2765"/>
    <w:rsid w:val="00772264"/>
    <w:rsid w:val="00795212"/>
    <w:rsid w:val="007A241C"/>
    <w:rsid w:val="007D7873"/>
    <w:rsid w:val="00847F24"/>
    <w:rsid w:val="0085084F"/>
    <w:rsid w:val="00876C56"/>
    <w:rsid w:val="008927D6"/>
    <w:rsid w:val="008B1DCB"/>
    <w:rsid w:val="00924624"/>
    <w:rsid w:val="00943E19"/>
    <w:rsid w:val="009B5080"/>
    <w:rsid w:val="009C700B"/>
    <w:rsid w:val="009E1C98"/>
    <w:rsid w:val="00A72498"/>
    <w:rsid w:val="00B70C6A"/>
    <w:rsid w:val="00B979A7"/>
    <w:rsid w:val="00BF4BD9"/>
    <w:rsid w:val="00C10810"/>
    <w:rsid w:val="00C77964"/>
    <w:rsid w:val="00C84B14"/>
    <w:rsid w:val="00D02D57"/>
    <w:rsid w:val="00D2398A"/>
    <w:rsid w:val="00D36B55"/>
    <w:rsid w:val="00D374B7"/>
    <w:rsid w:val="00DC1763"/>
    <w:rsid w:val="00DF26C4"/>
    <w:rsid w:val="00E02E39"/>
    <w:rsid w:val="00F50CDC"/>
    <w:rsid w:val="00F66BBE"/>
    <w:rsid w:val="00F73237"/>
    <w:rsid w:val="00FA530F"/>
    <w:rsid w:val="00FA557D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1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5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BD9"/>
  </w:style>
  <w:style w:type="paragraph" w:styleId="Fuzeile">
    <w:name w:val="footer"/>
    <w:basedOn w:val="Standard"/>
    <w:link w:val="FuzeileZchn"/>
    <w:uiPriority w:val="99"/>
    <w:unhideWhenUsed/>
    <w:rsid w:val="00BF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BD9"/>
  </w:style>
  <w:style w:type="paragraph" w:styleId="KeinLeerraum">
    <w:name w:val="No Spacing"/>
    <w:link w:val="KeinLeerraumZchn"/>
    <w:uiPriority w:val="1"/>
    <w:qFormat/>
    <w:rsid w:val="00C7796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7964"/>
    <w:rPr>
      <w:rFonts w:eastAsiaTheme="minorEastAsia"/>
      <w:lang w:eastAsia="de-DE"/>
    </w:rPr>
  </w:style>
  <w:style w:type="character" w:styleId="Link">
    <w:name w:val="Hyperlink"/>
    <w:basedOn w:val="Absatz-Standardschriftart"/>
    <w:uiPriority w:val="99"/>
    <w:semiHidden/>
    <w:unhideWhenUsed/>
    <w:rsid w:val="00F66B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delcker.de/" TargetMode="External"/><Relationship Id="rId10" Type="http://schemas.openxmlformats.org/officeDocument/2006/relationships/hyperlink" Target="mailto:Matthias.Delcker@Delck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6A02-1D55-B046-AE22-0073C825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4302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Matthias Delcker</dc:creator>
  <cp:lastModifiedBy>Microsoft Office-Anwender</cp:lastModifiedBy>
  <cp:revision>2</cp:revision>
  <cp:lastPrinted>2020-03-19T13:56:00Z</cp:lastPrinted>
  <dcterms:created xsi:type="dcterms:W3CDTF">2020-03-19T23:01:00Z</dcterms:created>
  <dcterms:modified xsi:type="dcterms:W3CDTF">2020-03-19T23:01:00Z</dcterms:modified>
</cp:coreProperties>
</file>